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Технический документ №6</w:t>
      </w:r>
    </w:p>
    <w:p>
      <w:pPr>
        <w:jc w:val="center"/>
      </w:pPr>
      <w:r>
        <w:rPr>
          <w:b/>
          <w:sz w:val="36"/>
        </w:rPr>
        <w:t>UML-ДИАГРАММЫ</w:t>
      </w:r>
    </w:p>
    <w:p>
      <w:pPr>
        <w:jc w:val="center"/>
      </w:pPr>
      <w:r>
        <w:rPr>
          <w:b w:val="0"/>
          <w:sz w:val="26"/>
        </w:rPr>
        <w:t>для плагина «Квартирография» для Autodesk Revit</w:t>
      </w:r>
    </w:p>
    <w:p/>
    <w:p>
      <w:pPr>
        <w:jc w:val="center"/>
      </w:pPr>
      <w:r>
        <w:rPr>
          <w:b w:val="0"/>
          <w:sz w:val="22"/>
        </w:rPr>
        <w:t>Дата формирования: 20.04.2026</w:t>
      </w:r>
    </w:p>
    <w:p>
      <w:pPr>
        <w:jc w:val="center"/>
      </w:pPr>
      <w:r>
        <w:rPr>
          <w:b w:val="0"/>
          <w:sz w:val="22"/>
        </w:rPr>
        <w:t>Версия документа: 1.0</w:t>
      </w:r>
    </w:p>
    <w:p>
      <w:pPr>
        <w:jc w:val="center"/>
      </w:pPr>
      <w:r>
        <w:rPr>
          <w:b w:val="0"/>
          <w:sz w:val="22"/>
        </w:rPr>
        <w:t>Связанные документы: BRD №3, ТЗ №1, ПМИ №2, Архитектурное решение №4, Модели данных №5</w:t>
      </w:r>
    </w:p>
    <w:p>
      <w:r>
        <w:br w:type="page"/>
      </w:r>
    </w:p>
    <w:p>
      <w:pPr>
        <w:pStyle w:val="Heading1"/>
      </w:pPr>
      <w:r>
        <w:t>1. Назначение документа</w:t>
      </w:r>
    </w:p>
    <w:p>
      <w:r>
        <w:t>Документ содержит UML-диаграммы плагина «Квартирография», применяемые для моделирования архитектуры, визуализации процессов, вариантов использования и взаимодействий между компонентами системы.</w:t>
      </w:r>
    </w:p>
    <w:p>
      <w:pPr>
        <w:pStyle w:val="Heading1"/>
      </w:pPr>
      <w:r>
        <w:t>2. Перечень диаграмм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3744"/>
            <w:vAlign w:val="center"/>
          </w:tcPr>
          <w:p>
            <w:r>
              <w:rPr>
                <w:b/>
              </w:rPr>
              <w:t>Диаграмма</w:t>
            </w:r>
          </w:p>
        </w:tc>
        <w:tc>
          <w:tcPr>
            <w:tcW w:type="dxa" w:w="7200"/>
            <w:vAlign w:val="center"/>
          </w:tcPr>
          <w:p>
            <w:r>
              <w:rPr>
                <w:b/>
              </w:rPr>
              <w:t>Назначение</w:t>
            </w:r>
          </w:p>
        </w:tc>
      </w:tr>
      <w:tr>
        <w:tc>
          <w:tcPr>
            <w:tcW w:type="dxa" w:w="3744"/>
            <w:vAlign w:val="top"/>
          </w:tcPr>
          <w:p>
            <w:r>
              <w:t>Диаграмма компонентов</w:t>
            </w:r>
          </w:p>
        </w:tc>
        <w:tc>
          <w:tcPr>
            <w:tcW w:type="dxa" w:w="7200"/>
            <w:vAlign w:val="top"/>
          </w:tcPr>
          <w:p>
            <w:r>
              <w:t>Показывает структурные модули плагина и их связи с Revit, настройками и диагностикой.</w:t>
            </w:r>
          </w:p>
        </w:tc>
      </w:tr>
      <w:tr>
        <w:tc>
          <w:tcPr>
            <w:tcW w:type="dxa" w:w="3744"/>
            <w:vAlign w:val="top"/>
          </w:tcPr>
          <w:p>
            <w:r>
              <w:t>Диаграмма классов</w:t>
            </w:r>
          </w:p>
        </w:tc>
        <w:tc>
          <w:tcPr>
            <w:tcW w:type="dxa" w:w="7200"/>
            <w:vAlign w:val="top"/>
          </w:tcPr>
          <w:p>
            <w:r>
              <w:t>Показывает ключевые классы, DTO и зависимости между ними.</w:t>
            </w:r>
          </w:p>
        </w:tc>
      </w:tr>
      <w:tr>
        <w:tc>
          <w:tcPr>
            <w:tcW w:type="dxa" w:w="3744"/>
            <w:vAlign w:val="top"/>
          </w:tcPr>
          <w:p>
            <w:r>
              <w:t>Диаграмма вариантов использования</w:t>
            </w:r>
          </w:p>
        </w:tc>
        <w:tc>
          <w:tcPr>
            <w:tcW w:type="dxa" w:w="7200"/>
            <w:vAlign w:val="top"/>
          </w:tcPr>
          <w:p>
            <w:r>
              <w:t>Показывает пользовательские сценарии проектировщика и BIM-координатора.</w:t>
            </w:r>
          </w:p>
        </w:tc>
      </w:tr>
      <w:tr>
        <w:tc>
          <w:tcPr>
            <w:tcW w:type="dxa" w:w="3744"/>
            <w:vAlign w:val="top"/>
          </w:tcPr>
          <w:p>
            <w:r>
              <w:t>Диаграмма последовательности</w:t>
            </w:r>
          </w:p>
        </w:tc>
        <w:tc>
          <w:tcPr>
            <w:tcW w:type="dxa" w:w="7200"/>
            <w:vAlign w:val="top"/>
          </w:tcPr>
          <w:p>
            <w:r>
              <w:t>Показывает порядок взаимодействия объектов в сценарии расчета и записи.</w:t>
            </w:r>
          </w:p>
        </w:tc>
      </w:tr>
      <w:tr>
        <w:tc>
          <w:tcPr>
            <w:tcW w:type="dxa" w:w="3744"/>
            <w:vAlign w:val="top"/>
          </w:tcPr>
          <w:p>
            <w:r>
              <w:t>Диаграмма деятельности</w:t>
            </w:r>
          </w:p>
        </w:tc>
        <w:tc>
          <w:tcPr>
            <w:tcW w:type="dxa" w:w="7200"/>
            <w:vAlign w:val="top"/>
          </w:tcPr>
          <w:p>
            <w:r>
              <w:t>Показывает алгоритм пользовательского сценария расчета с ветвлениями.</w:t>
            </w:r>
          </w:p>
        </w:tc>
      </w:tr>
    </w:tbl>
    <w:p>
      <w:pPr>
        <w:pStyle w:val="Heading1"/>
      </w:pPr>
      <w:r>
        <w:t>3. UML-диаграмма компонентов</w:t>
      </w:r>
    </w:p>
    <w:p>
      <w:r>
        <w:t>Диаграмма отражает компоненты плагина, внешние зависимости и основные направления взаимодействия.</w:t>
      </w:r>
    </w:p>
    <w:p>
      <w:r>
        <w:drawing>
          <wp:inline xmlns:a="http://schemas.openxmlformats.org/drawingml/2006/main" xmlns:pic="http://schemas.openxmlformats.org/drawingml/2006/picture">
            <wp:extent cx="6949440" cy="4324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_uml_component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49440" cy="432409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4. UML-диаграмма классов</w:t>
      </w:r>
    </w:p>
    <w:p>
      <w:r>
        <w:t>Диаграмма отражает ключевые классы и DTO, задействованные в сценарии расчета и записи квартирографии.</w:t>
      </w:r>
    </w:p>
    <w:p>
      <w:r>
        <w:drawing>
          <wp:inline xmlns:a="http://schemas.openxmlformats.org/drawingml/2006/main" xmlns:pic="http://schemas.openxmlformats.org/drawingml/2006/picture">
            <wp:extent cx="6949440" cy="475488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_uml_class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49440" cy="47548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5. UML-диаграмма вариантов использования</w:t>
      </w:r>
    </w:p>
    <w:p>
      <w:r>
        <w:t>Диаграмма фиксирует основные пользовательские действия и расширения сценариев.</w:t>
      </w:r>
    </w:p>
    <w:p>
      <w:r>
        <w:drawing>
          <wp:inline xmlns:a="http://schemas.openxmlformats.org/drawingml/2006/main" xmlns:pic="http://schemas.openxmlformats.org/drawingml/2006/picture">
            <wp:extent cx="6949440" cy="4292301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_uml_usecas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49440" cy="42923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6. UML-диаграмма последовательности</w:t>
      </w:r>
    </w:p>
    <w:p>
      <w:r>
        <w:t>Диаграмма показывает порядок вызовов между пользователем, UI, RevitBridge, запросом расчета, сервисами и Revit API.</w:t>
      </w:r>
    </w:p>
    <w:p>
      <w:r>
        <w:drawing>
          <wp:inline xmlns:a="http://schemas.openxmlformats.org/drawingml/2006/main" xmlns:pic="http://schemas.openxmlformats.org/drawingml/2006/picture">
            <wp:extent cx="6949440" cy="4572000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_uml_sequenc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4944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7. UML-диаграмма деятельности</w:t>
      </w:r>
    </w:p>
    <w:p>
      <w:r>
        <w:t>Диаграмма описывает поток выполнения сценария от запуска окна до записи результатов и отображения отчета.</w:t>
      </w:r>
    </w:p>
    <w:p>
      <w:r>
        <w:drawing>
          <wp:inline xmlns:a="http://schemas.openxmlformats.org/drawingml/2006/main" xmlns:pic="http://schemas.openxmlformats.org/drawingml/2006/picture">
            <wp:extent cx="6949440" cy="5314278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_uml_activity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49440" cy="531427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8. Описание ключевых UML-элементов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3456"/>
            <w:vAlign w:val="center"/>
          </w:tcPr>
          <w:p>
            <w:r>
              <w:rPr>
                <w:b/>
              </w:rPr>
              <w:t>Элемент</w:t>
            </w:r>
          </w:p>
        </w:tc>
        <w:tc>
          <w:tcPr>
            <w:tcW w:type="dxa" w:w="7488"/>
            <w:vAlign w:val="center"/>
          </w:tcPr>
          <w:p>
            <w:r>
              <w:rPr>
                <w:b/>
              </w:rPr>
              <w:t>Роль в системе</w:t>
            </w:r>
          </w:p>
        </w:tc>
      </w:tr>
      <w:tr>
        <w:tc>
          <w:tcPr>
            <w:tcW w:type="dxa" w:w="3456"/>
            <w:vAlign w:val="top"/>
          </w:tcPr>
          <w:p>
            <w:r>
              <w:t>Command</w:t>
            </w:r>
          </w:p>
        </w:tc>
        <w:tc>
          <w:tcPr>
            <w:tcW w:type="dxa" w:w="7488"/>
            <w:vAlign w:val="top"/>
          </w:tcPr>
          <w:p>
            <w:r>
              <w:t>Точка входа Revit IExternalCommand; создает или активирует главное окно.</w:t>
            </w:r>
          </w:p>
        </w:tc>
      </w:tr>
      <w:tr>
        <w:tc>
          <w:tcPr>
            <w:tcW w:type="dxa" w:w="3456"/>
            <w:vAlign w:val="top"/>
          </w:tcPr>
          <w:p>
            <w:r>
              <w:t>MainWindowViewModel</w:t>
            </w:r>
          </w:p>
        </w:tc>
        <w:tc>
          <w:tcPr>
            <w:tcW w:type="dxa" w:w="7488"/>
            <w:vAlign w:val="top"/>
          </w:tcPr>
          <w:p>
            <w:r>
              <w:t>Координирует состояние UI, валидацию, загрузку справочников и запуск расчета.</w:t>
            </w:r>
          </w:p>
        </w:tc>
      </w:tr>
      <w:tr>
        <w:tc>
          <w:tcPr>
            <w:tcW w:type="dxa" w:w="3456"/>
            <w:vAlign w:val="top"/>
          </w:tcPr>
          <w:p>
            <w:r>
              <w:t>RevitExternalEventRunner</w:t>
            </w:r>
          </w:p>
        </w:tc>
        <w:tc>
          <w:tcPr>
            <w:tcW w:type="dxa" w:w="7488"/>
            <w:vAlign w:val="top"/>
          </w:tcPr>
          <w:p>
            <w:r>
              <w:t>Гарантирует выполнение операций Revit API через ExternalEvent.</w:t>
            </w:r>
          </w:p>
        </w:tc>
      </w:tr>
      <w:tr>
        <w:tc>
          <w:tcPr>
            <w:tcW w:type="dxa" w:w="3456"/>
            <w:vAlign w:val="top"/>
          </w:tcPr>
          <w:p>
            <w:r>
              <w:t>AutoCalculateAndApplyRequest</w:t>
            </w:r>
          </w:p>
        </w:tc>
        <w:tc>
          <w:tcPr>
            <w:tcW w:type="dxa" w:w="7488"/>
            <w:vAlign w:val="top"/>
          </w:tcPr>
          <w:p>
            <w:r>
              <w:t>Оркестрирует сценарий расчета и записи в контексте Revit API.</w:t>
            </w:r>
          </w:p>
        </w:tc>
      </w:tr>
      <w:tr>
        <w:tc>
          <w:tcPr>
            <w:tcW w:type="dxa" w:w="3456"/>
            <w:vAlign w:val="top"/>
          </w:tcPr>
          <w:p>
            <w:r>
              <w:t>Services</w:t>
            </w:r>
          </w:p>
        </w:tc>
        <w:tc>
          <w:tcPr>
            <w:tcW w:type="dxa" w:w="7488"/>
            <w:vAlign w:val="top"/>
          </w:tcPr>
          <w:p>
            <w:r>
              <w:t>Собирают помещения, определяют параметры, выполняют расчет и запись.</w:t>
            </w:r>
          </w:p>
        </w:tc>
      </w:tr>
      <w:tr>
        <w:tc>
          <w:tcPr>
            <w:tcW w:type="dxa" w:w="3456"/>
            <w:vAlign w:val="top"/>
          </w:tcPr>
          <w:p>
            <w:r>
              <w:t>Core</w:t>
            </w:r>
          </w:p>
        </w:tc>
        <w:tc>
          <w:tcPr>
            <w:tcW w:type="dxa" w:w="7488"/>
            <w:vAlign w:val="top"/>
          </w:tcPr>
          <w:p>
            <w:r>
              <w:t>Содержит доменную расчетную логику без зависимости от Revit API.</w:t>
            </w:r>
          </w:p>
        </w:tc>
      </w:tr>
      <w:tr>
        <w:tc>
          <w:tcPr>
            <w:tcW w:type="dxa" w:w="3456"/>
            <w:vAlign w:val="top"/>
          </w:tcPr>
          <w:p>
            <w:r>
              <w:t>SettingsDto/settings.json</w:t>
            </w:r>
          </w:p>
        </w:tc>
        <w:tc>
          <w:tcPr>
            <w:tcW w:type="dxa" w:w="7488"/>
            <w:vAlign w:val="top"/>
          </w:tcPr>
          <w:p>
            <w:r>
              <w:t>Хранят пользовательские настройки между запусками.</w:t>
            </w:r>
          </w:p>
        </w:tc>
      </w:tr>
    </w:tbl>
    <w:p>
      <w:pPr>
        <w:pStyle w:val="Heading1"/>
      </w:pPr>
      <w:r>
        <w:t>9. Архитектурные выводы по UML-модели</w:t>
      </w:r>
    </w:p>
    <w:p>
      <w:pPr>
        <w:pStyle w:val="ListBullet"/>
      </w:pPr>
      <w:r>
        <w:t>Система имеет выраженное разделение UI, RevitBridge, сервисного слоя и расчетного ядра.</w:t>
      </w:r>
    </w:p>
    <w:p>
      <w:pPr>
        <w:pStyle w:val="ListBullet"/>
      </w:pPr>
      <w:r>
        <w:t>Операции с Revit API изолированы через ExternalEvent и отдельные IRevitRequest-команды.</w:t>
      </w:r>
    </w:p>
    <w:p>
      <w:pPr>
        <w:pStyle w:val="ListBullet"/>
      </w:pPr>
      <w:r>
        <w:t>Расчетное ядро может тестироваться отдельно от Autodesk Revit, так как работает с RawRoomData и расчетными DTO.</w:t>
      </w:r>
    </w:p>
    <w:p>
      <w:pPr>
        <w:pStyle w:val="ListBullet"/>
      </w:pPr>
      <w:r>
        <w:t>Основной пользовательский сценарий является линейным, но содержит контрольные ветвления: валидация ввода и выбор ручного/автоматического режима параметров.</w:t>
      </w:r>
    </w:p>
    <w:p>
      <w:pPr>
        <w:pStyle w:val="ListBullet"/>
      </w:pPr>
      <w:r>
        <w:t>Диаграммы подтверждают трассировку архитектуры к требованиям документов №1-№5.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